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BE627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BE6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Маменко Светланы Николаевны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BE6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Маменко Светланы Николаевны</w:t>
      </w:r>
      <w:r w:rsidRPr="00AA0E8C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 xml:space="preserve">1 </w:t>
      </w:r>
      <w:r w:rsidR="00BE6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Маменко Светланы Николаевны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proofErr w:type="gramStart"/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>
        <w:rPr>
          <w:rFonts w:ascii="Times New Roman" w:hAnsi="Times New Roman" w:cs="Times New Roman"/>
          <w:sz w:val="28"/>
          <w:szCs w:val="28"/>
        </w:rPr>
        <w:t>ей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BE6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Маменко Светлану Николаевну</w:t>
      </w:r>
      <w:r w:rsidR="00BE6277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 w:rsidRPr="0031383D">
        <w:rPr>
          <w:rFonts w:ascii="Times New Roman" w:hAnsi="Times New Roman" w:cs="Times New Roman"/>
          <w:sz w:val="28"/>
          <w:szCs w:val="28"/>
        </w:rPr>
        <w:t>1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31383D" w:rsidRPr="0031383D">
        <w:rPr>
          <w:rFonts w:ascii="Times New Roman" w:hAnsi="Times New Roman" w:cs="Times New Roman"/>
          <w:sz w:val="28"/>
          <w:szCs w:val="28"/>
        </w:rPr>
        <w:t>7</w:t>
      </w:r>
      <w:r w:rsidR="00BE6277">
        <w:rPr>
          <w:rFonts w:ascii="Times New Roman" w:hAnsi="Times New Roman" w:cs="Times New Roman"/>
          <w:sz w:val="28"/>
          <w:szCs w:val="28"/>
        </w:rPr>
        <w:t>0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31383D">
        <w:rPr>
          <w:rFonts w:ascii="Times New Roman" w:hAnsi="Times New Roman" w:cs="Times New Roman"/>
          <w:sz w:val="28"/>
          <w:szCs w:val="28"/>
        </w:rPr>
        <w:t>й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Pr="003138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6277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BE6277">
        <w:rPr>
          <w:rFonts w:ascii="Times New Roman" w:hAnsi="Times New Roman" w:cs="Times New Roman"/>
          <w:sz w:val="28"/>
          <w:szCs w:val="28"/>
        </w:rPr>
        <w:t>. директора МКУ «Специализированная ритуальная служба»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31383D">
        <w:rPr>
          <w:rFonts w:ascii="Times New Roman" w:hAnsi="Times New Roman" w:cs="Times New Roman"/>
          <w:sz w:val="28"/>
          <w:szCs w:val="28"/>
        </w:rPr>
        <w:t>ую</w:t>
      </w:r>
      <w:r w:rsidRPr="0031383D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7D714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7D7145">
        <w:rPr>
          <w:rFonts w:ascii="Times New Roman" w:hAnsi="Times New Roman" w:cs="Times New Roman"/>
          <w:sz w:val="28"/>
          <w:szCs w:val="28"/>
        </w:rPr>
        <w:t>01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BE62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Маменко Светлане Николаевне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085A0E"/>
    <w:rsid w:val="001366A6"/>
    <w:rsid w:val="0031383D"/>
    <w:rsid w:val="00326714"/>
    <w:rsid w:val="003345D0"/>
    <w:rsid w:val="004924CF"/>
    <w:rsid w:val="00523E02"/>
    <w:rsid w:val="00567BB7"/>
    <w:rsid w:val="00675B2F"/>
    <w:rsid w:val="006D258A"/>
    <w:rsid w:val="007C22CD"/>
    <w:rsid w:val="007D7145"/>
    <w:rsid w:val="007F2F23"/>
    <w:rsid w:val="008711D7"/>
    <w:rsid w:val="00892B29"/>
    <w:rsid w:val="00896706"/>
    <w:rsid w:val="008F007B"/>
    <w:rsid w:val="0091391B"/>
    <w:rsid w:val="009A0687"/>
    <w:rsid w:val="009B4644"/>
    <w:rsid w:val="00AA0E8C"/>
    <w:rsid w:val="00BE6277"/>
    <w:rsid w:val="00C27F35"/>
    <w:rsid w:val="00C97115"/>
    <w:rsid w:val="00D55AEE"/>
    <w:rsid w:val="00DD45DA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2024-07-23T09:48:00Z</cp:lastPrinted>
  <dcterms:created xsi:type="dcterms:W3CDTF">2024-07-23T08:54:00Z</dcterms:created>
  <dcterms:modified xsi:type="dcterms:W3CDTF">2024-07-29T08:30:00Z</dcterms:modified>
</cp:coreProperties>
</file>